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FA1ED" w14:textId="77777777" w:rsidR="00836898" w:rsidRPr="005371E6" w:rsidRDefault="00836898" w:rsidP="00836898">
      <w:pPr>
        <w:rPr>
          <w:rFonts w:ascii="Arial" w:hAnsi="Arial"/>
          <w:b/>
          <w:color w:val="000000" w:themeColor="text1"/>
          <w:sz w:val="28"/>
          <w:bdr w:val="none" w:sz="0" w:space="0" w:color="auto" w:frame="1"/>
        </w:rPr>
      </w:pPr>
      <w:r w:rsidRPr="005371E6">
        <w:rPr>
          <w:sz w:val="52"/>
        </w:rPr>
        <w:t>Nota de prensa</w:t>
      </w:r>
    </w:p>
    <w:p w14:paraId="7258E595" w14:textId="75B0C496" w:rsidR="00836898" w:rsidRPr="005371E6" w:rsidRDefault="00836898" w:rsidP="002D0EA6">
      <w:pPr>
        <w:rPr>
          <w:b/>
          <w:bCs/>
          <w:color w:val="000000" w:themeColor="text1"/>
          <w:sz w:val="44"/>
          <w:szCs w:val="44"/>
        </w:rPr>
      </w:pPr>
      <w:r w:rsidRPr="005371E6">
        <w:rPr>
          <w:b/>
          <w:bdr w:val="none" w:sz="0" w:space="0" w:color="auto" w:frame="1"/>
        </w:rPr>
        <w:t xml:space="preserve">Neu-Anspach, Alemania. Miércoles, </w:t>
      </w:r>
      <w:r w:rsidR="00B44D93">
        <w:rPr>
          <w:b/>
          <w:bdr w:val="none" w:sz="0" w:space="0" w:color="auto" w:frame="1"/>
        </w:rPr>
        <w:t>28</w:t>
      </w:r>
      <w:r w:rsidRPr="005371E6">
        <w:rPr>
          <w:b/>
          <w:bdr w:val="none" w:sz="0" w:space="0" w:color="auto" w:frame="1"/>
        </w:rPr>
        <w:t xml:space="preserve"> de abril de 2026</w:t>
      </w:r>
    </w:p>
    <w:p w14:paraId="7A5AB301" w14:textId="77777777" w:rsidR="00836898" w:rsidRPr="005371E6" w:rsidRDefault="00836898" w:rsidP="002D0EA6">
      <w:pPr>
        <w:rPr>
          <w:b/>
          <w:bCs/>
          <w:color w:val="000000" w:themeColor="text1"/>
          <w:sz w:val="44"/>
          <w:szCs w:val="44"/>
        </w:rPr>
      </w:pPr>
    </w:p>
    <w:p w14:paraId="7E81A540" w14:textId="576C8C99" w:rsidR="009F4E26" w:rsidRPr="005371E6" w:rsidRDefault="00DF1594" w:rsidP="002D0EA6">
      <w:pPr>
        <w:rPr>
          <w:b/>
          <w:bCs/>
          <w:color w:val="000000" w:themeColor="text1"/>
          <w:sz w:val="44"/>
          <w:szCs w:val="44"/>
        </w:rPr>
      </w:pPr>
      <w:r w:rsidRPr="005371E6">
        <w:rPr>
          <w:b/>
          <w:color w:val="000000" w:themeColor="text1"/>
          <w:sz w:val="44"/>
        </w:rPr>
        <w:t>Donde el deporte se une a la historia: Cameo forma parte del diseño de iluminación de los Juegos de Invierno más prestigiosos del mundo</w:t>
      </w:r>
    </w:p>
    <w:p w14:paraId="50BBB6BA" w14:textId="77777777" w:rsidR="002D0EA6" w:rsidRPr="005371E6" w:rsidRDefault="002D0EA6" w:rsidP="002D0EA6">
      <w:pPr>
        <w:rPr>
          <w:b/>
          <w:bCs/>
          <w:color w:val="000000" w:themeColor="text1"/>
          <w:sz w:val="44"/>
          <w:szCs w:val="44"/>
        </w:rPr>
      </w:pPr>
    </w:p>
    <w:p w14:paraId="12F7D279" w14:textId="6EE0DCEA" w:rsidR="00827117" w:rsidRPr="005371E6" w:rsidRDefault="00204512" w:rsidP="002D0EA6">
      <w:pPr>
        <w:rPr>
          <w:rFonts w:eastAsia="Times New Roman"/>
          <w:b/>
          <w:bCs/>
          <w:color w:val="auto"/>
        </w:rPr>
      </w:pPr>
      <w:r w:rsidRPr="005371E6">
        <w:rPr>
          <w:b/>
          <w:color w:val="auto"/>
        </w:rPr>
        <w:t>El escenario: un anfiteatro romano de 2000 años de antigüedad y Patrimonio de la Humanidad de la UNESCO. El público: millones de personas en todo el mundo. El evento: los Juegos de Invierno más prestigiosos. Y, en medio de todo esto, un equipo de diseño de iluminación que trabaja con 750 unidades de un producto que ni siquiera ha salido aún al mercado. Así comienza una historia sobre el momento en que la luz deja de ser tecnología y se convierte en un lenguaje.</w:t>
      </w:r>
    </w:p>
    <w:p w14:paraId="6508519E" w14:textId="2CAB7197" w:rsidR="007B5936" w:rsidRPr="005371E6" w:rsidRDefault="0039320C" w:rsidP="002D0EA6">
      <w:pPr>
        <w:pStyle w:val="whitespace-normal"/>
        <w:spacing w:before="0" w:beforeAutospacing="0" w:after="0" w:afterAutospacing="0"/>
        <w:rPr>
          <w:rFonts w:ascii="Calibri" w:hAnsi="Calibri" w:cs="Calibri"/>
          <w:b/>
          <w:bCs/>
          <w:sz w:val="22"/>
          <w:szCs w:val="22"/>
        </w:rPr>
      </w:pPr>
      <w:r w:rsidRPr="005371E6">
        <w:rPr>
          <w:rFonts w:ascii="Calibri" w:hAnsi="Calibri"/>
          <w:b/>
          <w:sz w:val="22"/>
        </w:rPr>
        <w:t xml:space="preserve">El Arena di Verona en febrero de 2026: el famoso anfiteatro servirá de escenario para dos ceremonias que difícilmente podrían ser más distintas. En primer lugar, la gran final de los Juegos de Invierno más prestigiosos del mundo: un momento de despedida y de homenaje a los mejores deportistas. Unos días más tarde, el mismo escenario, la misma tecnología, pero un ambiente completamente diferente: la inauguración de los Juegos de Invierno para deportistas paralímpicos, un nuevo comienzo lleno de energía y expectación. En ambas ocasiones, el mismo recinto, la misma tecnología y, sin embargo, dos eventos que se distinguen claramente entre sí. </w:t>
      </w:r>
    </w:p>
    <w:p w14:paraId="14753581" w14:textId="77777777" w:rsidR="00827117" w:rsidRPr="005371E6" w:rsidRDefault="00827117" w:rsidP="002D0EA6">
      <w:pPr>
        <w:rPr>
          <w:rFonts w:eastAsia="Times New Roman"/>
          <w:color w:val="auto"/>
          <w:lang w:eastAsia="de-DE"/>
        </w:rPr>
      </w:pPr>
    </w:p>
    <w:p w14:paraId="524DD9F5" w14:textId="51EC84E6" w:rsidR="007B5936" w:rsidRPr="005371E6" w:rsidRDefault="007B5936" w:rsidP="00B07AD8">
      <w:pPr>
        <w:pStyle w:val="font-claude-response-body"/>
        <w:rPr>
          <w:rFonts w:ascii="Calibri" w:hAnsi="Calibri" w:cs="Calibri"/>
          <w:sz w:val="22"/>
          <w:szCs w:val="22"/>
        </w:rPr>
      </w:pPr>
      <w:r w:rsidRPr="005371E6">
        <w:rPr>
          <w:rFonts w:ascii="Calibri" w:hAnsi="Calibri"/>
          <w:sz w:val="22"/>
        </w:rPr>
        <w:t xml:space="preserve">Lo que el público pudo disfrutar durante estos dos eventos fue el resultado de una estrecha colaboración entre la productora italiana </w:t>
      </w:r>
      <w:proofErr w:type="spellStart"/>
      <w:r w:rsidRPr="005371E6">
        <w:rPr>
          <w:rFonts w:ascii="Calibri" w:hAnsi="Calibri"/>
          <w:sz w:val="22"/>
        </w:rPr>
        <w:t>Filmmaster</w:t>
      </w:r>
      <w:proofErr w:type="spellEnd"/>
      <w:r w:rsidRPr="005371E6">
        <w:rPr>
          <w:rFonts w:ascii="Calibri" w:hAnsi="Calibri"/>
          <w:sz w:val="22"/>
        </w:rPr>
        <w:t xml:space="preserve"> (a la que los comités organizadores encargaron directamente el proyecto), el estudio de diseño </w:t>
      </w:r>
      <w:proofErr w:type="spellStart"/>
      <w:r w:rsidRPr="005371E6">
        <w:rPr>
          <w:rFonts w:ascii="Calibri" w:hAnsi="Calibri"/>
          <w:sz w:val="22"/>
        </w:rPr>
        <w:t>Giò</w:t>
      </w:r>
      <w:proofErr w:type="spellEnd"/>
      <w:r w:rsidRPr="005371E6">
        <w:rPr>
          <w:rFonts w:ascii="Calibri" w:hAnsi="Calibri"/>
          <w:sz w:val="22"/>
        </w:rPr>
        <w:t xml:space="preserve"> Forma, con sede en Milán, y el equipo de diseño de iluminación de Blearred Milano. Juntos, crearon una producción cuyo impacto traspasó con creces los límites del ámbito deportivo. </w:t>
      </w:r>
      <w:proofErr w:type="spellStart"/>
      <w:r w:rsidRPr="005371E6">
        <w:rPr>
          <w:rFonts w:ascii="Calibri" w:hAnsi="Calibri"/>
          <w:sz w:val="22"/>
        </w:rPr>
        <w:t>Fabrizio</w:t>
      </w:r>
      <w:proofErr w:type="spellEnd"/>
      <w:r w:rsidRPr="005371E6">
        <w:rPr>
          <w:rFonts w:ascii="Calibri" w:hAnsi="Calibri"/>
          <w:sz w:val="22"/>
        </w:rPr>
        <w:t xml:space="preserve"> Audagnotto, productor ejecutivo de ceremonias en </w:t>
      </w:r>
      <w:proofErr w:type="spellStart"/>
      <w:r w:rsidRPr="005371E6">
        <w:rPr>
          <w:rFonts w:ascii="Calibri" w:hAnsi="Calibri"/>
          <w:sz w:val="22"/>
        </w:rPr>
        <w:t>Filmmaster</w:t>
      </w:r>
      <w:proofErr w:type="spellEnd"/>
      <w:r w:rsidRPr="005371E6">
        <w:rPr>
          <w:rFonts w:ascii="Calibri" w:hAnsi="Calibri"/>
          <w:sz w:val="22"/>
        </w:rPr>
        <w:t>, afirma: «"La belleza en acción", en todas sus formas. Esa fue la promesa que le hicimos al mundo. Convertir el Arena di Verona en un escenario envolvente por primera vez en la historia de los Juegos Olímpicos, entrelazando la danza, la música, la tecnología y el patrimonio cultural de Italia en un único momento. Esto solo puede tener éxito si todos los socios comprenden verdaderamente esta visión. En el escenario, se puede ver la luz. Pero lo que no se ve es la confianza que la sustenta».</w:t>
      </w:r>
    </w:p>
    <w:p w14:paraId="2D522FE4" w14:textId="669D4632" w:rsidR="009C605B" w:rsidRPr="005371E6" w:rsidRDefault="00F96DD4" w:rsidP="002D0EA6">
      <w:pPr>
        <w:rPr>
          <w:rFonts w:eastAsia="Times New Roman"/>
          <w:b/>
          <w:bCs/>
          <w:color w:val="auto"/>
        </w:rPr>
      </w:pPr>
      <w:r w:rsidRPr="005371E6">
        <w:rPr>
          <w:b/>
          <w:color w:val="auto"/>
        </w:rPr>
        <w:t>La luz como elemento de diseño</w:t>
      </w:r>
    </w:p>
    <w:p w14:paraId="5B08B549" w14:textId="0A3DC9D2" w:rsidR="00827117" w:rsidRPr="00BB287A" w:rsidRDefault="00BB287A" w:rsidP="002D0EA6">
      <w:pPr>
        <w:rPr>
          <w:rFonts w:eastAsia="Times New Roman" w:cs="Times New Roman"/>
          <w:color w:val="auto"/>
          <w:szCs w:val="24"/>
          <w:lang w:eastAsia="de-DE"/>
        </w:rPr>
      </w:pPr>
      <w:r w:rsidRPr="00BB287A">
        <w:rPr>
          <w:rFonts w:eastAsia="Times New Roman" w:cs="Times New Roman"/>
          <w:color w:val="auto"/>
          <w:szCs w:val="24"/>
          <w:lang w:eastAsia="de-DE"/>
        </w:rPr>
        <w:t xml:space="preserve">Claudio Santucci, escenógrafo y fundador del estudio de diseño </w:t>
      </w:r>
      <w:proofErr w:type="spellStart"/>
      <w:r w:rsidRPr="00BB287A">
        <w:rPr>
          <w:rFonts w:eastAsia="Times New Roman" w:cs="Times New Roman"/>
          <w:color w:val="auto"/>
          <w:szCs w:val="24"/>
          <w:lang w:eastAsia="de-DE"/>
        </w:rPr>
        <w:t>Giò</w:t>
      </w:r>
      <w:proofErr w:type="spellEnd"/>
      <w:r w:rsidRPr="00BB287A">
        <w:rPr>
          <w:rFonts w:eastAsia="Times New Roman" w:cs="Times New Roman"/>
          <w:color w:val="auto"/>
          <w:szCs w:val="24"/>
          <w:lang w:eastAsia="de-DE"/>
        </w:rPr>
        <w:t xml:space="preserve"> Forma, con sede en Milán, lo tenía claro desde el inicio del proyecto: "La luz es un componente estructural de la escenografía, no un elemento secundario. En la Arena de Verona, nos enfrentamos al reto de resolver el telón de fondo a lo largo de las gradas de la Arena, una condición especialmente delicada, ya que cualquier intervención en ese espacio implicaba inevitablemente negociar el equilibrio entre realzar el entorno histórico e integrar tecnología contemporánea. Por eso reinterpretamos el fondo como un lienzo luminoso que se extiende por las gradas de la Arena, empleando un sistema de iluminación versátil y de gran impacto visual. De este modo, la luz se convierte en una herramienta escenográfica genuina, que moldea el espacio, la profundidad y la narrativa sin depender de estructuras físicas adicionales. Para lograrlo, incorporamos a Cameo en el proceso, aportando el impulso decisivo a los diseñadores de iluminación de Blearred. Juntos, transformamos la Arena en el corazón visual del proyecto: un </w:t>
      </w:r>
      <w:r w:rsidRPr="00BB287A">
        <w:rPr>
          <w:rFonts w:eastAsia="Times New Roman" w:cs="Times New Roman"/>
          <w:color w:val="auto"/>
          <w:szCs w:val="24"/>
          <w:lang w:eastAsia="de-DE"/>
        </w:rPr>
        <w:lastRenderedPageBreak/>
        <w:t>telón de fondo inmersivo donde luz, arquitectura y diseño convergen, realzando y amplificando cada actuación."</w:t>
      </w:r>
    </w:p>
    <w:p w14:paraId="1A8002E9" w14:textId="77777777" w:rsidR="00BB287A" w:rsidRPr="005371E6" w:rsidRDefault="00BB287A" w:rsidP="002D0EA6">
      <w:pPr>
        <w:rPr>
          <w:b/>
          <w:bCs/>
          <w:color w:val="000000" w:themeColor="text1"/>
        </w:rPr>
      </w:pPr>
    </w:p>
    <w:p w14:paraId="51F6FFFF" w14:textId="6F924FB5" w:rsidR="001B190B" w:rsidRPr="005371E6" w:rsidRDefault="001B190B" w:rsidP="002D0EA6">
      <w:pPr>
        <w:rPr>
          <w:b/>
          <w:bCs/>
          <w:color w:val="000000" w:themeColor="text1"/>
        </w:rPr>
      </w:pPr>
      <w:r w:rsidRPr="005371E6">
        <w:rPr>
          <w:b/>
          <w:color w:val="000000" w:themeColor="text1"/>
        </w:rPr>
        <w:t>Nuevas perspectivas</w:t>
      </w:r>
    </w:p>
    <w:p w14:paraId="73CCC8D3" w14:textId="6EC390EA" w:rsidR="00C00414" w:rsidRPr="005371E6" w:rsidRDefault="00C00414" w:rsidP="002D0EA6">
      <w:pPr>
        <w:pStyle w:val="StandardWeb"/>
        <w:spacing w:before="0" w:beforeAutospacing="0" w:after="0" w:afterAutospacing="0"/>
        <w:rPr>
          <w:rFonts w:ascii="Calibri" w:hAnsi="Calibri" w:cs="Calibri"/>
          <w:sz w:val="22"/>
          <w:szCs w:val="22"/>
        </w:rPr>
      </w:pPr>
      <w:r w:rsidRPr="005371E6">
        <w:rPr>
          <w:rFonts w:ascii="Calibri" w:hAnsi="Calibri"/>
          <w:sz w:val="22"/>
        </w:rPr>
        <w:t xml:space="preserve">Para </w:t>
      </w:r>
      <w:proofErr w:type="spellStart"/>
      <w:r w:rsidRPr="005371E6">
        <w:rPr>
          <w:rFonts w:ascii="Calibri" w:hAnsi="Calibri"/>
          <w:sz w:val="22"/>
        </w:rPr>
        <w:t>Blearred</w:t>
      </w:r>
      <w:proofErr w:type="spellEnd"/>
      <w:r w:rsidRPr="005371E6">
        <w:rPr>
          <w:rFonts w:ascii="Calibri" w:hAnsi="Calibri"/>
          <w:sz w:val="22"/>
        </w:rPr>
        <w:t xml:space="preserve">, la tarea consistía en diseñar dos producciones en directo consecutivas con una configuración escénica y técnica prácticamente idéntica, de manera que resultaran coherentes y, al mismo tiempo, distintivas: «Nuestro mayor reto consistió en evitar la repetición en la medida de lo posible y en dotar a cada ceremonia de su propio toque emocional», explica </w:t>
      </w:r>
      <w:proofErr w:type="spellStart"/>
      <w:r w:rsidRPr="005371E6">
        <w:rPr>
          <w:rFonts w:ascii="Calibri" w:hAnsi="Calibri"/>
          <w:sz w:val="22"/>
        </w:rPr>
        <w:t>Ivan</w:t>
      </w:r>
      <w:proofErr w:type="spellEnd"/>
      <w:r w:rsidRPr="005371E6">
        <w:rPr>
          <w:rFonts w:ascii="Calibri" w:hAnsi="Calibri"/>
          <w:sz w:val="22"/>
        </w:rPr>
        <w:t xml:space="preserve"> Russo, director técnico de proyectos y uno de los fundadores de </w:t>
      </w:r>
      <w:proofErr w:type="spellStart"/>
      <w:r w:rsidRPr="005371E6">
        <w:rPr>
          <w:rFonts w:ascii="Calibri" w:hAnsi="Calibri"/>
          <w:sz w:val="22"/>
        </w:rPr>
        <w:t>Blearred</w:t>
      </w:r>
      <w:proofErr w:type="spellEnd"/>
      <w:r w:rsidRPr="005371E6">
        <w:rPr>
          <w:rFonts w:ascii="Calibri" w:hAnsi="Calibri"/>
          <w:sz w:val="22"/>
        </w:rPr>
        <w:t>. «El objetivo era replantear la perspectiva del público al tiempo que se transmitía una atmósfera general coherente».</w:t>
      </w:r>
    </w:p>
    <w:p w14:paraId="499BA9C5" w14:textId="77777777" w:rsidR="00C00414" w:rsidRPr="005371E6" w:rsidRDefault="00C00414" w:rsidP="002D0EA6">
      <w:pPr>
        <w:rPr>
          <w:color w:val="000000" w:themeColor="text1"/>
        </w:rPr>
      </w:pPr>
    </w:p>
    <w:p w14:paraId="575AF297" w14:textId="424D2012" w:rsidR="002226CD" w:rsidRPr="005371E6" w:rsidRDefault="00BD6CFF" w:rsidP="002D0EA6">
      <w:pPr>
        <w:rPr>
          <w:color w:val="000000" w:themeColor="text1"/>
        </w:rPr>
      </w:pPr>
      <w:proofErr w:type="spellStart"/>
      <w:r w:rsidRPr="005371E6">
        <w:rPr>
          <w:color w:val="000000" w:themeColor="text1"/>
        </w:rPr>
        <w:t>Blearred</w:t>
      </w:r>
      <w:proofErr w:type="spellEnd"/>
      <w:r w:rsidRPr="005371E6">
        <w:rPr>
          <w:color w:val="000000" w:themeColor="text1"/>
        </w:rPr>
        <w:t xml:space="preserve"> buscaba soluciones que funcionaran tanto desde el punto de vista creativo como práctico. Las ideas creativas requerían una arquitectura lumínica que resaltara todo el espacio, no solo el escenario. En otras palabras, una iluminación que cree profundidad y marque el ritmo. Y soluciones lo suficientemente resistentes como para soportar las exigentes condiciones de un enorme recinto al aire libre, sin necesidad de proteger la mampostería histórica de forma que se limite innecesariamente la producción.</w:t>
      </w:r>
    </w:p>
    <w:p w14:paraId="21426AD4" w14:textId="77777777" w:rsidR="001B190B" w:rsidRPr="005371E6" w:rsidRDefault="001B190B" w:rsidP="002D0EA6"/>
    <w:p w14:paraId="5968D47A" w14:textId="2C61EFA5" w:rsidR="001B190B" w:rsidRPr="005371E6" w:rsidRDefault="004A5DD7" w:rsidP="002D0EA6">
      <w:pPr>
        <w:rPr>
          <w:b/>
          <w:bCs/>
          <w:color w:val="000000" w:themeColor="text1"/>
        </w:rPr>
      </w:pPr>
      <w:r w:rsidRPr="005371E6">
        <w:rPr>
          <w:b/>
          <w:color w:val="000000" w:themeColor="text1"/>
        </w:rPr>
        <w:t>Una cuestión de confianza</w:t>
      </w:r>
    </w:p>
    <w:p w14:paraId="2CB8FA02" w14:textId="4F1CE11B" w:rsidR="009510F8" w:rsidRPr="005371E6" w:rsidRDefault="00BD6CFF" w:rsidP="002D0EA6">
      <w:pPr>
        <w:pStyle w:val="StandardWeb"/>
        <w:spacing w:before="0" w:beforeAutospacing="0" w:after="0" w:afterAutospacing="0"/>
        <w:rPr>
          <w:rFonts w:ascii="Calibri" w:hAnsi="Calibri" w:cs="Calibri"/>
          <w:sz w:val="22"/>
          <w:szCs w:val="22"/>
        </w:rPr>
      </w:pPr>
      <w:r w:rsidRPr="005371E6">
        <w:rPr>
          <w:rFonts w:ascii="Calibri" w:hAnsi="Calibri"/>
          <w:sz w:val="22"/>
        </w:rPr>
        <w:t xml:space="preserve">La recomendación de </w:t>
      </w:r>
      <w:proofErr w:type="spellStart"/>
      <w:r w:rsidRPr="005371E6">
        <w:rPr>
          <w:rFonts w:ascii="Calibri" w:hAnsi="Calibri"/>
          <w:sz w:val="22"/>
        </w:rPr>
        <w:t>Giò</w:t>
      </w:r>
      <w:proofErr w:type="spellEnd"/>
      <w:r w:rsidRPr="005371E6">
        <w:rPr>
          <w:rFonts w:ascii="Calibri" w:hAnsi="Calibri"/>
          <w:sz w:val="22"/>
        </w:rPr>
        <w:t xml:space="preserve"> Forma llevó al equipo de </w:t>
      </w:r>
      <w:proofErr w:type="spellStart"/>
      <w:r w:rsidRPr="005371E6">
        <w:rPr>
          <w:rFonts w:ascii="Calibri" w:hAnsi="Calibri"/>
          <w:sz w:val="22"/>
        </w:rPr>
        <w:t>Blearred</w:t>
      </w:r>
      <w:proofErr w:type="spellEnd"/>
      <w:r w:rsidRPr="005371E6">
        <w:rPr>
          <w:rFonts w:ascii="Calibri" w:hAnsi="Calibri"/>
          <w:sz w:val="22"/>
        </w:rPr>
        <w:t xml:space="preserve"> directamente a Neu-Anspach, en Hesse, a la sede central del Adam Hall Group: «Cuando vimos por primera vez el OTOS L16, el producto ni siquiera había salido aún al mercado», recuerda </w:t>
      </w:r>
      <w:proofErr w:type="spellStart"/>
      <w:r w:rsidRPr="005371E6">
        <w:rPr>
          <w:rFonts w:ascii="Calibri" w:hAnsi="Calibri"/>
          <w:sz w:val="22"/>
        </w:rPr>
        <w:t>Jordan</w:t>
      </w:r>
      <w:proofErr w:type="spellEnd"/>
      <w:r w:rsidRPr="005371E6">
        <w:rPr>
          <w:rFonts w:ascii="Calibri" w:hAnsi="Calibri"/>
          <w:sz w:val="22"/>
        </w:rPr>
        <w:t xml:space="preserve"> Babev, diseñador de iluminación y cofundador de </w:t>
      </w:r>
      <w:proofErr w:type="spellStart"/>
      <w:r w:rsidRPr="005371E6">
        <w:rPr>
          <w:rFonts w:ascii="Calibri" w:hAnsi="Calibri"/>
          <w:sz w:val="22"/>
        </w:rPr>
        <w:t>Blearred</w:t>
      </w:r>
      <w:proofErr w:type="spellEnd"/>
      <w:r w:rsidRPr="005371E6">
        <w:rPr>
          <w:rFonts w:ascii="Calibri" w:hAnsi="Calibri"/>
          <w:sz w:val="22"/>
        </w:rPr>
        <w:t xml:space="preserve">. El hecho de que, a pesar de todo, el equipo se decantara por la nueva barra móvil IP65 de Cameo demuestra la confianza que el estudio depositó en el producto y en la marca. «El equipo de Cameo nunca nos dejó lugar a dudas de que podrían suministrar las unidades necesarias de OTOS L16 para los espectáculos. Ese fue el factor decisivo para nosotros». </w:t>
      </w:r>
    </w:p>
    <w:p w14:paraId="168C8227" w14:textId="77777777" w:rsidR="009510F8" w:rsidRPr="005371E6" w:rsidRDefault="009510F8" w:rsidP="002D0EA6">
      <w:pPr>
        <w:pStyle w:val="StandardWeb"/>
        <w:spacing w:before="0" w:beforeAutospacing="0" w:after="0" w:afterAutospacing="0"/>
        <w:rPr>
          <w:rFonts w:ascii="Calibri" w:hAnsi="Calibri" w:cs="Calibri"/>
          <w:sz w:val="22"/>
          <w:szCs w:val="22"/>
        </w:rPr>
      </w:pPr>
    </w:p>
    <w:p w14:paraId="5BC113AF" w14:textId="2931739C" w:rsidR="00751CE6" w:rsidRPr="005371E6" w:rsidRDefault="009510F8" w:rsidP="002D0EA6">
      <w:pPr>
        <w:pStyle w:val="StandardWeb"/>
        <w:spacing w:before="0" w:beforeAutospacing="0" w:after="0" w:afterAutospacing="0"/>
        <w:rPr>
          <w:rFonts w:ascii="Calibri" w:hAnsi="Calibri" w:cs="Calibri"/>
          <w:sz w:val="22"/>
          <w:szCs w:val="22"/>
        </w:rPr>
      </w:pPr>
      <w:r w:rsidRPr="005371E6">
        <w:rPr>
          <w:rFonts w:ascii="Calibri" w:hAnsi="Calibri"/>
          <w:sz w:val="22"/>
        </w:rPr>
        <w:t xml:space="preserve">Para Nicolò Maffeis, programador de iluminación de Blearred, los algo menos de 750 Cameo OTOS L16, distribuidos por las antiguas gradas del anfiteatro semicircular, desempeñaron un papel crucial en la realización creativa: «Los OTOS L16 son el elemento visual más llamativo en ambas ceremonias». </w:t>
      </w:r>
      <w:proofErr w:type="spellStart"/>
      <w:r w:rsidRPr="005371E6">
        <w:rPr>
          <w:rFonts w:ascii="Calibri" w:hAnsi="Calibri"/>
          <w:sz w:val="22"/>
        </w:rPr>
        <w:t>Blearred</w:t>
      </w:r>
      <w:proofErr w:type="spellEnd"/>
      <w:r w:rsidRPr="005371E6">
        <w:rPr>
          <w:rFonts w:ascii="Calibri" w:hAnsi="Calibri"/>
          <w:sz w:val="22"/>
        </w:rPr>
        <w:t xml:space="preserve"> utiliza barras móviles con certificación IP65 tanto para crear efectos de superficie en color y efectos simétricos como para lograr acentos de iluminación con una marcada sensación de profundidad.</w:t>
      </w:r>
    </w:p>
    <w:p w14:paraId="49C005B0" w14:textId="77777777" w:rsidR="00B511E0" w:rsidRPr="005371E6" w:rsidRDefault="00B511E0" w:rsidP="002D0EA6">
      <w:pPr>
        <w:pStyle w:val="StandardWeb"/>
        <w:spacing w:before="0" w:beforeAutospacing="0" w:after="0" w:afterAutospacing="0"/>
        <w:rPr>
          <w:rFonts w:ascii="Calibri" w:hAnsi="Calibri" w:cs="Calibri"/>
          <w:sz w:val="22"/>
          <w:szCs w:val="22"/>
        </w:rPr>
      </w:pPr>
    </w:p>
    <w:p w14:paraId="13F32171" w14:textId="6318B185" w:rsidR="00751CE6" w:rsidRPr="005371E6" w:rsidRDefault="004A5DD7" w:rsidP="002D0EA6">
      <w:pPr>
        <w:pStyle w:val="StandardWeb"/>
        <w:spacing w:before="0" w:beforeAutospacing="0" w:after="0" w:afterAutospacing="0"/>
        <w:rPr>
          <w:rFonts w:ascii="Calibri" w:hAnsi="Calibri" w:cs="Calibri"/>
          <w:sz w:val="22"/>
          <w:szCs w:val="22"/>
        </w:rPr>
      </w:pPr>
      <w:r w:rsidRPr="005371E6">
        <w:rPr>
          <w:rStyle w:val="Fett"/>
          <w:rFonts w:ascii="Calibri" w:hAnsi="Calibri"/>
          <w:sz w:val="22"/>
        </w:rPr>
        <w:t>Recuerdos imborrables</w:t>
      </w:r>
    </w:p>
    <w:p w14:paraId="3E2695B4" w14:textId="777CA4E3" w:rsidR="006A0FC6" w:rsidRPr="005371E6" w:rsidRDefault="00751CE6" w:rsidP="002D0EA6">
      <w:pPr>
        <w:pStyle w:val="KeinLeerraum"/>
        <w:rPr>
          <w:rFonts w:ascii="Calibri" w:hAnsi="Calibri" w:cs="Calibri"/>
        </w:rPr>
      </w:pPr>
      <w:r w:rsidRPr="005371E6">
        <w:rPr>
          <w:rFonts w:ascii="Calibri" w:hAnsi="Calibri"/>
        </w:rPr>
        <w:t xml:space="preserve">En definitiva, en las ceremonias de esta envergadura lo importante no son los efectos individuales, sino lo que queda grabado en la memoria del público. «Por encima de todo, me gustaría que el público recordara las emociones que sintió al verlo por televisión o en directo en el estadio», comenta </w:t>
      </w:r>
      <w:proofErr w:type="spellStart"/>
      <w:r w:rsidRPr="005371E6">
        <w:rPr>
          <w:rFonts w:ascii="Calibri" w:hAnsi="Calibri"/>
        </w:rPr>
        <w:t>Ivan</w:t>
      </w:r>
      <w:proofErr w:type="spellEnd"/>
      <w:r w:rsidRPr="005371E6">
        <w:rPr>
          <w:rFonts w:ascii="Calibri" w:hAnsi="Calibri"/>
        </w:rPr>
        <w:t xml:space="preserve"> Russo. </w:t>
      </w:r>
      <w:proofErr w:type="spellStart"/>
      <w:r w:rsidRPr="005371E6">
        <w:rPr>
          <w:rFonts w:ascii="Calibri" w:hAnsi="Calibri"/>
        </w:rPr>
        <w:t>Jordan</w:t>
      </w:r>
      <w:proofErr w:type="spellEnd"/>
      <w:r w:rsidRPr="005371E6">
        <w:rPr>
          <w:rFonts w:ascii="Calibri" w:hAnsi="Calibri"/>
        </w:rPr>
        <w:t xml:space="preserve"> Babev ya está pensando en el futuro: «Nos </w:t>
      </w:r>
      <w:proofErr w:type="spellStart"/>
      <w:r w:rsidRPr="005371E6">
        <w:rPr>
          <w:rFonts w:ascii="Calibri" w:hAnsi="Calibri"/>
        </w:rPr>
        <w:t>imagino</w:t>
      </w:r>
      <w:proofErr w:type="spellEnd"/>
      <w:r w:rsidRPr="005371E6">
        <w:rPr>
          <w:rFonts w:ascii="Calibri" w:hAnsi="Calibri"/>
        </w:rPr>
        <w:t xml:space="preserve"> dentro de diez años sentados alrededor de una mesa, como un equipo, recordando con orgullo esta experiencia que hemos compartido con millones de personas».</w:t>
      </w:r>
    </w:p>
    <w:p w14:paraId="67AE40A3" w14:textId="77777777" w:rsidR="002D0EA6" w:rsidRPr="005371E6" w:rsidRDefault="002D0EA6" w:rsidP="002D0EA6">
      <w:pPr>
        <w:pStyle w:val="KeinLeerraum"/>
        <w:rPr>
          <w:rFonts w:ascii="Calibri" w:hAnsi="Calibri" w:cs="Calibri"/>
          <w:lang w:val="de-DE"/>
        </w:rPr>
      </w:pPr>
    </w:p>
    <w:p w14:paraId="3DDF847A" w14:textId="3FC20CAC" w:rsidR="006A0FC6" w:rsidRPr="005371E6" w:rsidRDefault="006A0FC6" w:rsidP="002D0EA6">
      <w:pPr>
        <w:pStyle w:val="font-claude-response-body"/>
        <w:spacing w:before="0" w:beforeAutospacing="0" w:after="0" w:afterAutospacing="0"/>
        <w:rPr>
          <w:rFonts w:ascii="Calibri" w:eastAsiaTheme="minorHAnsi" w:hAnsi="Calibri" w:cs="Calibri"/>
          <w:sz w:val="22"/>
          <w:szCs w:val="22"/>
        </w:rPr>
      </w:pPr>
      <w:r w:rsidRPr="005371E6">
        <w:rPr>
          <w:rFonts w:ascii="Calibri" w:hAnsi="Calibri"/>
          <w:sz w:val="22"/>
        </w:rPr>
        <w:t xml:space="preserve">La entrevista completa con los miembros del equipo de </w:t>
      </w:r>
      <w:proofErr w:type="spellStart"/>
      <w:r w:rsidRPr="005371E6">
        <w:rPr>
          <w:rFonts w:ascii="Calibri" w:hAnsi="Calibri"/>
          <w:sz w:val="22"/>
        </w:rPr>
        <w:t>Blearred</w:t>
      </w:r>
      <w:proofErr w:type="spellEnd"/>
      <w:r w:rsidRPr="005371E6">
        <w:rPr>
          <w:rFonts w:ascii="Calibri" w:hAnsi="Calibri"/>
          <w:sz w:val="22"/>
        </w:rPr>
        <w:t xml:space="preserve"> sobre la presión por hacer un buen trabajo, el orgullo y el carácter único de este proyecto se puede ver </w:t>
      </w:r>
      <w:hyperlink r:id="rId10" w:history="1">
        <w:r w:rsidR="00663D18" w:rsidRPr="00663D18">
          <w:rPr>
            <w:rStyle w:val="Hyperlink"/>
            <w:rFonts w:ascii="Calibri" w:hAnsi="Calibri"/>
            <w:sz w:val="22"/>
          </w:rPr>
          <w:t>aquí</w:t>
        </w:r>
      </w:hyperlink>
      <w:r w:rsidR="00663D18">
        <w:rPr>
          <w:rFonts w:ascii="Calibri" w:hAnsi="Calibri"/>
          <w:sz w:val="22"/>
        </w:rPr>
        <w:t xml:space="preserve"> </w:t>
      </w:r>
      <w:r w:rsidRPr="005371E6">
        <w:rPr>
          <w:rFonts w:ascii="Calibri" w:hAnsi="Calibri"/>
          <w:sz w:val="22"/>
        </w:rPr>
        <w:t>en YouTube</w:t>
      </w:r>
      <w:r w:rsidR="00B44D93">
        <w:rPr>
          <w:rFonts w:ascii="Calibri" w:hAnsi="Calibri"/>
          <w:sz w:val="22"/>
        </w:rPr>
        <w:t>.</w:t>
      </w:r>
    </w:p>
    <w:p w14:paraId="51B1C207" w14:textId="77777777" w:rsidR="002D0EA6" w:rsidRPr="005371E6" w:rsidRDefault="002D0EA6" w:rsidP="002D0EA6">
      <w:pPr>
        <w:pStyle w:val="KeinLeerraum"/>
        <w:rPr>
          <w:rFonts w:ascii="Calibri" w:hAnsi="Calibri" w:cs="Calibri"/>
          <w:b/>
          <w:bCs/>
          <w:lang w:val="de-DE"/>
        </w:rPr>
      </w:pPr>
    </w:p>
    <w:p w14:paraId="45FE4AE1" w14:textId="22F2A507" w:rsidR="00A23809" w:rsidRPr="005371E6" w:rsidRDefault="00A23809" w:rsidP="002D0EA6">
      <w:pPr>
        <w:pStyle w:val="KeinLeerraum"/>
        <w:rPr>
          <w:rFonts w:ascii="Calibri" w:hAnsi="Calibri" w:cs="Calibri"/>
          <w:b/>
          <w:bCs/>
        </w:rPr>
      </w:pPr>
      <w:r w:rsidRPr="005371E6">
        <w:rPr>
          <w:rFonts w:ascii="Calibri" w:hAnsi="Calibri"/>
          <w:b/>
        </w:rPr>
        <w:t>En el Arena di Verona se utilizaron los siguientes productos Cameo:</w:t>
      </w:r>
    </w:p>
    <w:p w14:paraId="478B644B" w14:textId="1262C532" w:rsidR="00A23809" w:rsidRPr="005371E6" w:rsidRDefault="00A23809" w:rsidP="002D0EA6">
      <w:pPr>
        <w:pStyle w:val="KeinLeerraum"/>
        <w:rPr>
          <w:rFonts w:ascii="Calibri" w:eastAsia="Times New Roman" w:hAnsi="Calibri" w:cs="Calibri"/>
          <w:color w:val="000000"/>
        </w:rPr>
      </w:pPr>
      <w:r w:rsidRPr="005371E6">
        <w:rPr>
          <w:rFonts w:ascii="Calibri" w:hAnsi="Calibri"/>
          <w:color w:val="000000"/>
        </w:rPr>
        <w:t>Barra móvil OTOS L16 IP65 de Cameo</w:t>
      </w:r>
    </w:p>
    <w:p w14:paraId="499360D2" w14:textId="77777777" w:rsidR="00A23809" w:rsidRPr="005371E6" w:rsidRDefault="00A23809" w:rsidP="002D0EA6">
      <w:pPr>
        <w:pStyle w:val="StandardWeb"/>
        <w:spacing w:before="0" w:beforeAutospacing="0" w:after="0" w:afterAutospacing="0"/>
        <w:textAlignment w:val="baseline"/>
        <w:rPr>
          <w:rFonts w:ascii="Calibri" w:hAnsi="Calibri" w:cs="Calibri"/>
          <w:color w:val="000000" w:themeColor="text1"/>
          <w:sz w:val="22"/>
          <w:szCs w:val="22"/>
          <w:lang w:val="en-US"/>
        </w:rPr>
      </w:pPr>
    </w:p>
    <w:p w14:paraId="35F62E62" w14:textId="77777777" w:rsidR="00A23809" w:rsidRPr="005371E6" w:rsidRDefault="00A23809" w:rsidP="002D0EA6">
      <w:pPr>
        <w:rPr>
          <w:color w:val="000000" w:themeColor="text1"/>
        </w:rPr>
      </w:pPr>
      <w:r w:rsidRPr="005371E6">
        <w:rPr>
          <w:color w:val="000000" w:themeColor="text1"/>
          <w:lang w:val="en-US"/>
        </w:rPr>
        <w:t>#</w:t>
      </w:r>
      <w:proofErr w:type="gramStart"/>
      <w:r w:rsidRPr="005371E6">
        <w:rPr>
          <w:color w:val="000000" w:themeColor="text1"/>
          <w:lang w:val="en-US"/>
        </w:rPr>
        <w:t>Cameo  #ForLumenBeings  #EventTech  #</w:t>
      </w:r>
      <w:proofErr w:type="gramEnd"/>
      <w:r w:rsidRPr="005371E6">
        <w:rPr>
          <w:color w:val="000000" w:themeColor="text1"/>
          <w:lang w:val="en-US"/>
        </w:rPr>
        <w:t>EngineeringFascination</w:t>
      </w:r>
    </w:p>
    <w:p w14:paraId="405E3420" w14:textId="77777777" w:rsidR="00A23809" w:rsidRPr="005371E6" w:rsidRDefault="00A23809" w:rsidP="002D0EA6">
      <w:pPr>
        <w:rPr>
          <w:b/>
          <w:bCs/>
          <w:color w:val="000000" w:themeColor="text1"/>
          <w:lang w:val="en-US"/>
        </w:rPr>
      </w:pPr>
    </w:p>
    <w:p w14:paraId="7902973F" w14:textId="77777777" w:rsidR="00A23809" w:rsidRPr="005371E6" w:rsidRDefault="00A23809" w:rsidP="002D0EA6">
      <w:pPr>
        <w:rPr>
          <w:b/>
          <w:bCs/>
          <w:color w:val="000000" w:themeColor="text1"/>
        </w:rPr>
      </w:pPr>
      <w:r w:rsidRPr="005371E6">
        <w:rPr>
          <w:b/>
          <w:color w:val="000000" w:themeColor="text1"/>
        </w:rPr>
        <w:t>Más información en:</w:t>
      </w:r>
    </w:p>
    <w:p w14:paraId="7371541B" w14:textId="77777777" w:rsidR="00A23809" w:rsidRPr="005371E6" w:rsidRDefault="00A23809" w:rsidP="002D0EA6">
      <w:pPr>
        <w:pStyle w:val="KeinLeerraum"/>
        <w:rPr>
          <w:rFonts w:ascii="Calibri" w:hAnsi="Calibri" w:cs="Calibri"/>
        </w:rPr>
      </w:pPr>
      <w:hyperlink r:id="rId11" w:history="1">
        <w:r w:rsidRPr="005371E6">
          <w:rPr>
            <w:rStyle w:val="Hyperlink"/>
            <w:rFonts w:ascii="Calibri" w:hAnsi="Calibri"/>
          </w:rPr>
          <w:t>blearred.com</w:t>
        </w:r>
      </w:hyperlink>
    </w:p>
    <w:p w14:paraId="5DB47230" w14:textId="77777777" w:rsidR="00A23809" w:rsidRPr="005371E6" w:rsidRDefault="00A23809" w:rsidP="002D0EA6">
      <w:pPr>
        <w:pStyle w:val="KeinLeerraum"/>
        <w:rPr>
          <w:rFonts w:ascii="Calibri" w:hAnsi="Calibri" w:cs="Calibri"/>
        </w:rPr>
      </w:pPr>
      <w:hyperlink r:id="rId12" w:history="1">
        <w:r w:rsidRPr="005371E6">
          <w:rPr>
            <w:rStyle w:val="Hyperlink"/>
            <w:rFonts w:ascii="Calibri" w:hAnsi="Calibri"/>
          </w:rPr>
          <w:t>gioforma.com</w:t>
        </w:r>
      </w:hyperlink>
    </w:p>
    <w:p w14:paraId="364765BE" w14:textId="2BE408E4" w:rsidR="00126432" w:rsidRPr="005371E6" w:rsidRDefault="00126432" w:rsidP="002D0EA6">
      <w:pPr>
        <w:pStyle w:val="KeinLeerraum"/>
        <w:rPr>
          <w:rFonts w:ascii="Calibri" w:hAnsi="Calibri" w:cs="Calibri"/>
        </w:rPr>
      </w:pPr>
      <w:hyperlink r:id="rId13" w:history="1">
        <w:r w:rsidRPr="005371E6">
          <w:rPr>
            <w:rStyle w:val="Hyperlink"/>
            <w:rFonts w:ascii="Calibri" w:hAnsi="Calibri"/>
          </w:rPr>
          <w:t>filmmaster.com</w:t>
        </w:r>
      </w:hyperlink>
    </w:p>
    <w:p w14:paraId="6E8D884E" w14:textId="77777777" w:rsidR="00A23809" w:rsidRPr="005371E6" w:rsidRDefault="00A23809" w:rsidP="002D0EA6">
      <w:pPr>
        <w:pStyle w:val="KeinLeerraum"/>
        <w:rPr>
          <w:rFonts w:ascii="Calibri" w:hAnsi="Calibri" w:cs="Calibri"/>
          <w:b/>
          <w:bCs/>
        </w:rPr>
      </w:pPr>
    </w:p>
    <w:p w14:paraId="46B3159E" w14:textId="77777777" w:rsidR="00A23809" w:rsidRPr="005371E6" w:rsidRDefault="00A23809" w:rsidP="002D0EA6">
      <w:pPr>
        <w:suppressAutoHyphens/>
      </w:pPr>
      <w:hyperlink r:id="rId14" w:history="1">
        <w:r w:rsidRPr="005371E6">
          <w:rPr>
            <w:rStyle w:val="Hyperlink"/>
            <w:lang w:val="en-US"/>
          </w:rPr>
          <w:t>cameolight.com</w:t>
        </w:r>
      </w:hyperlink>
    </w:p>
    <w:p w14:paraId="427DFBFC" w14:textId="6635DBF5" w:rsidR="00932242" w:rsidRPr="005371E6" w:rsidRDefault="00A23809" w:rsidP="002D0EA6">
      <w:hyperlink r:id="rId15" w:history="1">
        <w:r w:rsidRPr="005371E6">
          <w:rPr>
            <w:rStyle w:val="Hyperlink"/>
            <w:color w:val="000000" w:themeColor="text1"/>
            <w:lang w:val="en-US"/>
          </w:rPr>
          <w:t>adamhall.com</w:t>
        </w:r>
      </w:hyperlink>
    </w:p>
    <w:p w14:paraId="0CEB8D26" w14:textId="77777777" w:rsidR="00836898" w:rsidRPr="005371E6" w:rsidRDefault="00836898" w:rsidP="002D0EA6"/>
    <w:p w14:paraId="3BD0741E" w14:textId="77777777" w:rsidR="00AC3EA1" w:rsidRPr="00AC3EA1" w:rsidRDefault="00AC3EA1" w:rsidP="00AC3EA1">
      <w:pPr>
        <w:rPr>
          <w:rFonts w:eastAsiaTheme="minorHAnsi" w:cstheme="minorBidi"/>
          <w:b/>
          <w:color w:val="808080"/>
          <w:sz w:val="18"/>
          <w:lang w:eastAsia="en-US"/>
        </w:rPr>
      </w:pPr>
      <w:r w:rsidRPr="00AC3EA1">
        <w:rPr>
          <w:rFonts w:eastAsiaTheme="minorHAnsi" w:cstheme="minorBidi"/>
          <w:b/>
          <w:color w:val="808080"/>
          <w:sz w:val="18"/>
          <w:lang w:eastAsia="en-US"/>
        </w:rPr>
        <w:t>Acerca de Adam Hall Group</w:t>
      </w:r>
    </w:p>
    <w:p w14:paraId="6BEB9506" w14:textId="23A0ED9D" w:rsidR="00836898" w:rsidRDefault="00AC3EA1" w:rsidP="00AC3EA1">
      <w:pPr>
        <w:rPr>
          <w:rFonts w:eastAsiaTheme="minorHAnsi" w:cstheme="minorBidi"/>
          <w:b/>
          <w:color w:val="808080"/>
          <w:sz w:val="18"/>
          <w:lang w:eastAsia="en-US"/>
        </w:rPr>
      </w:pPr>
      <w:r w:rsidRPr="00AC3EA1">
        <w:rPr>
          <w:rFonts w:eastAsiaTheme="minorHAnsi" w:cstheme="minorBidi"/>
          <w:bCs/>
          <w:color w:val="808080"/>
          <w:sz w:val="18"/>
          <w:lang w:eastAsia="en-US"/>
        </w:rPr>
        <w:t xml:space="preserve">Adam Hall Group es un fabricante y distribuidor alemán líder que ofrece soluciones de tecnología de eventos para socios comerciales de todo el mundo. Su público objetivo incluye, entre otros, a minoristas, distribuidores B2B, empresas de alquiler y organización de eventos, estudios de televisión, integradores audiovisuales y de sistemas, empresas tanto privadas como públicas y fabricantes de </w:t>
      </w:r>
      <w:proofErr w:type="spellStart"/>
      <w:r w:rsidRPr="00AC3EA1">
        <w:rPr>
          <w:rFonts w:eastAsiaTheme="minorHAnsi" w:cstheme="minorBidi"/>
          <w:bCs/>
          <w:color w:val="808080"/>
          <w:sz w:val="18"/>
          <w:lang w:eastAsia="en-US"/>
        </w:rPr>
        <w:t>flightcases</w:t>
      </w:r>
      <w:proofErr w:type="spellEnd"/>
      <w:r w:rsidRPr="00AC3EA1">
        <w:rPr>
          <w:rFonts w:eastAsiaTheme="minorHAnsi" w:cstheme="minorBidi"/>
          <w:bCs/>
          <w:color w:val="808080"/>
          <w:sz w:val="18"/>
          <w:lang w:eastAsia="en-US"/>
        </w:rPr>
        <w:t xml:space="preserve"> industriales. Con sus marcas LD </w:t>
      </w:r>
      <w:proofErr w:type="spellStart"/>
      <w:r w:rsidRPr="00AC3EA1">
        <w:rPr>
          <w:rFonts w:eastAsiaTheme="minorHAnsi" w:cstheme="minorBidi"/>
          <w:bCs/>
          <w:color w:val="808080"/>
          <w:sz w:val="18"/>
          <w:lang w:eastAsia="en-US"/>
        </w:rPr>
        <w:t>Systems</w:t>
      </w:r>
      <w:proofErr w:type="spellEnd"/>
      <w:r w:rsidRPr="00AC3EA1">
        <w:rPr>
          <w:rFonts w:eastAsiaTheme="minorHAnsi" w:cstheme="minorBidi"/>
          <w:bCs/>
          <w:color w:val="808080"/>
          <w:sz w:val="18"/>
          <w:lang w:eastAsia="en-US"/>
        </w:rPr>
        <w:t xml:space="preserve">®, Cameo®, </w:t>
      </w:r>
      <w:proofErr w:type="spellStart"/>
      <w:r w:rsidRPr="00AC3EA1">
        <w:rPr>
          <w:rFonts w:eastAsiaTheme="minorHAnsi" w:cstheme="minorBidi"/>
          <w:bCs/>
          <w:color w:val="808080"/>
          <w:sz w:val="18"/>
          <w:lang w:eastAsia="en-US"/>
        </w:rPr>
        <w:t>Gravity</w:t>
      </w:r>
      <w:proofErr w:type="spellEnd"/>
      <w:r w:rsidRPr="00AC3EA1">
        <w:rPr>
          <w:rFonts w:eastAsiaTheme="minorHAnsi" w:cstheme="minorBidi"/>
          <w:bCs/>
          <w:color w:val="808080"/>
          <w:sz w:val="18"/>
          <w:lang w:eastAsia="en-US"/>
        </w:rPr>
        <w:t xml:space="preserve">®, Defender®, Palmer® y Adam Hall®, la empresa distribuye una amplia gama de equipos profesionales de audio e iluminación, así como equipamiento para escenario y hardware para </w:t>
      </w:r>
      <w:proofErr w:type="spellStart"/>
      <w:r w:rsidRPr="00AC3EA1">
        <w:rPr>
          <w:rFonts w:eastAsiaTheme="minorHAnsi" w:cstheme="minorBidi"/>
          <w:bCs/>
          <w:color w:val="808080"/>
          <w:sz w:val="18"/>
          <w:lang w:eastAsia="en-US"/>
        </w:rPr>
        <w:t>flightcases</w:t>
      </w:r>
      <w:proofErr w:type="spellEnd"/>
      <w:r w:rsidRPr="00AC3EA1">
        <w:rPr>
          <w:rFonts w:eastAsiaTheme="minorHAnsi" w:cstheme="minorBidi"/>
          <w:bCs/>
          <w:color w:val="808080"/>
          <w:sz w:val="18"/>
          <w:lang w:eastAsia="en-US"/>
        </w:rPr>
        <w:t>. Desde su fundación en 1975, Adam Hall Group se ha convertido en una empresa moderna e innovadora en el sector de tecnología de eventos y dispone de un centro logístico con un almacén de más de 14 000 metros cuadrados próximo a su sede corporativa, no lejos de Fráncfort del Meno (Alemania). Gracias a su enfoque en la creación de valor y en el servicio que presta, Adam Hall Group ya cuenta con toda una serie de reconocimientos internacionales concedidos por sus desarrollos innovadores y diseños pioneros por parte de diversas instituciones de prestigio tales como "Red Dot", "German Design Award" e "</w:t>
      </w:r>
      <w:proofErr w:type="spellStart"/>
      <w:r w:rsidRPr="00AC3EA1">
        <w:rPr>
          <w:rFonts w:eastAsiaTheme="minorHAnsi" w:cstheme="minorBidi"/>
          <w:bCs/>
          <w:color w:val="808080"/>
          <w:sz w:val="18"/>
          <w:lang w:eastAsia="en-US"/>
        </w:rPr>
        <w:t>iF</w:t>
      </w:r>
      <w:proofErr w:type="spellEnd"/>
      <w:r w:rsidRPr="00AC3EA1">
        <w:rPr>
          <w:rFonts w:eastAsiaTheme="minorHAnsi" w:cstheme="minorBidi"/>
          <w:bCs/>
          <w:color w:val="808080"/>
          <w:sz w:val="18"/>
          <w:lang w:eastAsia="en-US"/>
        </w:rPr>
        <w:t xml:space="preserve"> Industrie Forum </w:t>
      </w:r>
      <w:proofErr w:type="spellStart"/>
      <w:r w:rsidRPr="00AC3EA1">
        <w:rPr>
          <w:rFonts w:eastAsiaTheme="minorHAnsi" w:cstheme="minorBidi"/>
          <w:bCs/>
          <w:color w:val="808080"/>
          <w:sz w:val="18"/>
          <w:lang w:eastAsia="en-US"/>
        </w:rPr>
        <w:t>Design</w:t>
      </w:r>
      <w:proofErr w:type="spellEnd"/>
      <w:r w:rsidRPr="00AC3EA1">
        <w:rPr>
          <w:rFonts w:eastAsiaTheme="minorHAnsi" w:cstheme="minorBidi"/>
          <w:bCs/>
          <w:color w:val="808080"/>
          <w:sz w:val="18"/>
          <w:lang w:eastAsia="en-US"/>
        </w:rPr>
        <w:t xml:space="preserve">". En colaboración con la agencia de diseño F. A. Porsche, LD </w:t>
      </w:r>
      <w:proofErr w:type="spellStart"/>
      <w:r w:rsidRPr="00AC3EA1">
        <w:rPr>
          <w:rFonts w:eastAsiaTheme="minorHAnsi" w:cstheme="minorBidi"/>
          <w:bCs/>
          <w:color w:val="808080"/>
          <w:sz w:val="18"/>
          <w:lang w:eastAsia="en-US"/>
        </w:rPr>
        <w:t>Systems</w:t>
      </w:r>
      <w:proofErr w:type="spellEnd"/>
      <w:r w:rsidRPr="00AC3EA1">
        <w:rPr>
          <w:rFonts w:eastAsiaTheme="minorHAnsi" w:cstheme="minorBidi"/>
          <w:bCs/>
          <w:color w:val="808080"/>
          <w:sz w:val="18"/>
          <w:lang w:eastAsia="en-US"/>
        </w:rPr>
        <w:t>® anticipa el futuro del diseño para audio profesional con su emblemática columna de altavoces MAUI® P900 y ha sido reconocido recientemente por ello con el codiciado premio German Design Award. Más información sobre Adam Hall Group en el sitio web</w:t>
      </w:r>
      <w:r w:rsidRPr="00AC3EA1">
        <w:rPr>
          <w:rFonts w:eastAsiaTheme="minorHAnsi" w:cstheme="minorBidi"/>
          <w:b/>
          <w:color w:val="808080"/>
          <w:sz w:val="18"/>
          <w:lang w:eastAsia="en-US"/>
        </w:rPr>
        <w:t xml:space="preserve"> </w:t>
      </w:r>
      <w:hyperlink r:id="rId16" w:history="1">
        <w:r w:rsidRPr="00EA5A49">
          <w:rPr>
            <w:rStyle w:val="Hyperlink"/>
            <w:rFonts w:eastAsiaTheme="minorHAnsi" w:cstheme="minorBidi"/>
            <w:b/>
            <w:sz w:val="18"/>
            <w:lang w:eastAsia="en-US"/>
          </w:rPr>
          <w:t>www.adamhall.com</w:t>
        </w:r>
      </w:hyperlink>
      <w:r w:rsidRPr="00AC3EA1">
        <w:rPr>
          <w:rFonts w:eastAsiaTheme="minorHAnsi" w:cstheme="minorBidi"/>
          <w:b/>
          <w:color w:val="808080"/>
          <w:sz w:val="18"/>
          <w:lang w:eastAsia="en-US"/>
        </w:rPr>
        <w:t>.</w:t>
      </w:r>
    </w:p>
    <w:p w14:paraId="4B2AC599" w14:textId="77777777" w:rsidR="00AC3EA1" w:rsidRPr="00126432" w:rsidRDefault="00AC3EA1" w:rsidP="00AC3EA1">
      <w:pPr>
        <w:rPr>
          <w:rFonts w:eastAsia="Arial"/>
          <w:bCs/>
          <w:color w:val="000000" w:themeColor="text1"/>
          <w:lang w:val="en-US"/>
        </w:rPr>
      </w:pPr>
    </w:p>
    <w:sectPr w:rsidR="00AC3EA1" w:rsidRPr="00126432">
      <w:headerReference w:type="defaul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65E43" w14:textId="77777777" w:rsidR="005A451D" w:rsidRDefault="005A451D" w:rsidP="00836898">
      <w:r>
        <w:separator/>
      </w:r>
    </w:p>
  </w:endnote>
  <w:endnote w:type="continuationSeparator" w:id="0">
    <w:p w14:paraId="1EAC4DEE" w14:textId="77777777" w:rsidR="005A451D" w:rsidRDefault="005A451D" w:rsidP="00836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D8EC0" w14:textId="77777777" w:rsidR="005A451D" w:rsidRDefault="005A451D" w:rsidP="00836898">
      <w:r>
        <w:separator/>
      </w:r>
    </w:p>
  </w:footnote>
  <w:footnote w:type="continuationSeparator" w:id="0">
    <w:p w14:paraId="2C991D2C" w14:textId="77777777" w:rsidR="005A451D" w:rsidRDefault="005A451D" w:rsidP="00836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BC1C1" w14:textId="024AFF28" w:rsidR="00836898" w:rsidRPr="00836898" w:rsidRDefault="00836898" w:rsidP="00836898">
    <w:pPr>
      <w:pStyle w:val="Kopfzeile"/>
      <w:ind w:firstLine="708"/>
    </w:pPr>
    <w:r>
      <w:tab/>
    </w:r>
    <w:r>
      <w:tab/>
    </w:r>
    <w:r>
      <w:rPr>
        <w:noProof/>
      </w:rPr>
      <w:drawing>
        <wp:inline distT="0" distB="0" distL="0" distR="0" wp14:anchorId="625D9FAC" wp14:editId="14C587C3">
          <wp:extent cx="1791205" cy="654050"/>
          <wp:effectExtent l="0" t="0" r="0" b="0"/>
          <wp:docPr id="9" name="Grafik 5"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A58B1"/>
    <w:multiLevelType w:val="multilevel"/>
    <w:tmpl w:val="ABAC6432"/>
    <w:lvl w:ilvl="0">
      <w:start w:val="1"/>
      <w:numFmt w:val="bullet"/>
      <w:lvlText w:val=""/>
      <w:lvlJc w:val="left"/>
      <w:pPr>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531E7316"/>
    <w:multiLevelType w:val="multilevel"/>
    <w:tmpl w:val="A9B28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1658758">
    <w:abstractNumId w:val="1"/>
  </w:num>
  <w:num w:numId="2" w16cid:durableId="973173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25F"/>
    <w:rsid w:val="000366C3"/>
    <w:rsid w:val="00062D3A"/>
    <w:rsid w:val="000A43A0"/>
    <w:rsid w:val="000C77E8"/>
    <w:rsid w:val="000F3E82"/>
    <w:rsid w:val="00126432"/>
    <w:rsid w:val="00157E7B"/>
    <w:rsid w:val="00176175"/>
    <w:rsid w:val="001A6DB6"/>
    <w:rsid w:val="001A7EE9"/>
    <w:rsid w:val="001B190B"/>
    <w:rsid w:val="001C2C2B"/>
    <w:rsid w:val="00204512"/>
    <w:rsid w:val="00217F56"/>
    <w:rsid w:val="002226CD"/>
    <w:rsid w:val="00240A47"/>
    <w:rsid w:val="0027112C"/>
    <w:rsid w:val="00276490"/>
    <w:rsid w:val="002D0EA6"/>
    <w:rsid w:val="002D372B"/>
    <w:rsid w:val="00311871"/>
    <w:rsid w:val="003131A4"/>
    <w:rsid w:val="00326175"/>
    <w:rsid w:val="003269C7"/>
    <w:rsid w:val="00352D04"/>
    <w:rsid w:val="0039320C"/>
    <w:rsid w:val="003C46C9"/>
    <w:rsid w:val="003D739D"/>
    <w:rsid w:val="003F4684"/>
    <w:rsid w:val="004017A6"/>
    <w:rsid w:val="00402F1E"/>
    <w:rsid w:val="00404359"/>
    <w:rsid w:val="00434A49"/>
    <w:rsid w:val="004A230F"/>
    <w:rsid w:val="004A5DD7"/>
    <w:rsid w:val="004D2B4D"/>
    <w:rsid w:val="004D4374"/>
    <w:rsid w:val="004E4CBA"/>
    <w:rsid w:val="004E7C50"/>
    <w:rsid w:val="004F1742"/>
    <w:rsid w:val="005371E6"/>
    <w:rsid w:val="005A451D"/>
    <w:rsid w:val="005C7DDD"/>
    <w:rsid w:val="005E4198"/>
    <w:rsid w:val="00663D18"/>
    <w:rsid w:val="00681A7A"/>
    <w:rsid w:val="006A0FC6"/>
    <w:rsid w:val="006F4CBC"/>
    <w:rsid w:val="00724B13"/>
    <w:rsid w:val="00751CE6"/>
    <w:rsid w:val="00781875"/>
    <w:rsid w:val="007A12E3"/>
    <w:rsid w:val="007B2FBC"/>
    <w:rsid w:val="007B5936"/>
    <w:rsid w:val="007D179B"/>
    <w:rsid w:val="007D1FAA"/>
    <w:rsid w:val="007F25E3"/>
    <w:rsid w:val="00827117"/>
    <w:rsid w:val="00836898"/>
    <w:rsid w:val="00845137"/>
    <w:rsid w:val="00864EEC"/>
    <w:rsid w:val="0088470E"/>
    <w:rsid w:val="0089593F"/>
    <w:rsid w:val="008C2E08"/>
    <w:rsid w:val="008C4378"/>
    <w:rsid w:val="008E018B"/>
    <w:rsid w:val="00916CE2"/>
    <w:rsid w:val="00932242"/>
    <w:rsid w:val="00935242"/>
    <w:rsid w:val="009479BB"/>
    <w:rsid w:val="009510F8"/>
    <w:rsid w:val="009868B8"/>
    <w:rsid w:val="00990D56"/>
    <w:rsid w:val="009B132B"/>
    <w:rsid w:val="009C5A86"/>
    <w:rsid w:val="009C605B"/>
    <w:rsid w:val="009F4E26"/>
    <w:rsid w:val="00A1146A"/>
    <w:rsid w:val="00A23809"/>
    <w:rsid w:val="00A50CC7"/>
    <w:rsid w:val="00AC3EA1"/>
    <w:rsid w:val="00B07AD8"/>
    <w:rsid w:val="00B44D93"/>
    <w:rsid w:val="00B511E0"/>
    <w:rsid w:val="00B55284"/>
    <w:rsid w:val="00B91E81"/>
    <w:rsid w:val="00BB287A"/>
    <w:rsid w:val="00BC09CA"/>
    <w:rsid w:val="00BD6CFF"/>
    <w:rsid w:val="00BF701C"/>
    <w:rsid w:val="00C00414"/>
    <w:rsid w:val="00C46630"/>
    <w:rsid w:val="00C7377C"/>
    <w:rsid w:val="00C85800"/>
    <w:rsid w:val="00CC1615"/>
    <w:rsid w:val="00D14252"/>
    <w:rsid w:val="00D170AB"/>
    <w:rsid w:val="00D227D8"/>
    <w:rsid w:val="00D71318"/>
    <w:rsid w:val="00D73919"/>
    <w:rsid w:val="00DD436F"/>
    <w:rsid w:val="00DF1594"/>
    <w:rsid w:val="00E02E48"/>
    <w:rsid w:val="00E1706F"/>
    <w:rsid w:val="00E23B94"/>
    <w:rsid w:val="00E373EF"/>
    <w:rsid w:val="00E40025"/>
    <w:rsid w:val="00EC5667"/>
    <w:rsid w:val="00ED2470"/>
    <w:rsid w:val="00EE38C4"/>
    <w:rsid w:val="00F009EF"/>
    <w:rsid w:val="00F1025F"/>
    <w:rsid w:val="00F25F20"/>
    <w:rsid w:val="00F96DD4"/>
    <w:rsid w:val="00FA032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6C99F"/>
  <w15:chartTrackingRefBased/>
  <w15:docId w15:val="{0B78530A-2F40-BB45-9E5F-9AD84A64E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alibri"/>
        <w:color w:val="534C4C"/>
        <w:sz w:val="22"/>
        <w:szCs w:val="22"/>
        <w:lang w:val="es-E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102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102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1025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1025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1025F"/>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F1025F"/>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1025F"/>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F1025F"/>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1025F"/>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1025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1025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1025F"/>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1025F"/>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1025F"/>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F1025F"/>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1025F"/>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F1025F"/>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1025F"/>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F1025F"/>
    <w:pPr>
      <w:spacing w:after="80"/>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F1025F"/>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F1025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1025F"/>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F1025F"/>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F1025F"/>
    <w:rPr>
      <w:i/>
      <w:iCs/>
      <w:color w:val="404040" w:themeColor="text1" w:themeTint="BF"/>
    </w:rPr>
  </w:style>
  <w:style w:type="paragraph" w:styleId="Listenabsatz">
    <w:name w:val="List Paragraph"/>
    <w:basedOn w:val="Standard"/>
    <w:uiPriority w:val="34"/>
    <w:qFormat/>
    <w:rsid w:val="00F1025F"/>
    <w:pPr>
      <w:ind w:left="720"/>
      <w:contextualSpacing/>
    </w:pPr>
  </w:style>
  <w:style w:type="character" w:styleId="IntensiveHervorhebung">
    <w:name w:val="Intense Emphasis"/>
    <w:basedOn w:val="Absatz-Standardschriftart"/>
    <w:uiPriority w:val="21"/>
    <w:qFormat/>
    <w:rsid w:val="00F1025F"/>
    <w:rPr>
      <w:i/>
      <w:iCs/>
      <w:color w:val="0F4761" w:themeColor="accent1" w:themeShade="BF"/>
    </w:rPr>
  </w:style>
  <w:style w:type="paragraph" w:styleId="IntensivesZitat">
    <w:name w:val="Intense Quote"/>
    <w:basedOn w:val="Standard"/>
    <w:next w:val="Standard"/>
    <w:link w:val="IntensivesZitatZchn"/>
    <w:uiPriority w:val="30"/>
    <w:qFormat/>
    <w:rsid w:val="00F102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1025F"/>
    <w:rPr>
      <w:i/>
      <w:iCs/>
      <w:color w:val="0F4761" w:themeColor="accent1" w:themeShade="BF"/>
    </w:rPr>
  </w:style>
  <w:style w:type="character" w:styleId="IntensiverVerweis">
    <w:name w:val="Intense Reference"/>
    <w:basedOn w:val="Absatz-Standardschriftart"/>
    <w:uiPriority w:val="32"/>
    <w:qFormat/>
    <w:rsid w:val="00F1025F"/>
    <w:rPr>
      <w:b/>
      <w:bCs/>
      <w:smallCaps/>
      <w:color w:val="0F4761" w:themeColor="accent1" w:themeShade="BF"/>
      <w:spacing w:val="5"/>
    </w:rPr>
  </w:style>
  <w:style w:type="paragraph" w:styleId="StandardWeb">
    <w:name w:val="Normal (Web)"/>
    <w:basedOn w:val="Standard"/>
    <w:uiPriority w:val="99"/>
    <w:unhideWhenUsed/>
    <w:rsid w:val="00C00414"/>
    <w:pPr>
      <w:spacing w:before="100" w:beforeAutospacing="1" w:after="100" w:afterAutospacing="1"/>
    </w:pPr>
    <w:rPr>
      <w:rFonts w:ascii="Times New Roman" w:eastAsia="Times New Roman" w:hAnsi="Times New Roman" w:cs="Times New Roman"/>
      <w:color w:val="auto"/>
      <w:sz w:val="24"/>
      <w:szCs w:val="24"/>
      <w:lang w:eastAsia="de-DE"/>
    </w:rPr>
  </w:style>
  <w:style w:type="character" w:styleId="Fett">
    <w:name w:val="Strong"/>
    <w:basedOn w:val="Absatz-Standardschriftart"/>
    <w:uiPriority w:val="22"/>
    <w:qFormat/>
    <w:rsid w:val="00751CE6"/>
    <w:rPr>
      <w:b/>
      <w:bCs/>
    </w:rPr>
  </w:style>
  <w:style w:type="paragraph" w:styleId="KeinLeerraum">
    <w:name w:val="No Spacing"/>
    <w:uiPriority w:val="1"/>
    <w:qFormat/>
    <w:rsid w:val="00751CE6"/>
    <w:rPr>
      <w:rFonts w:asciiTheme="minorHAnsi" w:eastAsiaTheme="minorHAnsi" w:hAnsiTheme="minorHAnsi" w:cstheme="minorBidi"/>
      <w:color w:val="auto"/>
      <w:lang w:eastAsia="en-US"/>
    </w:rPr>
  </w:style>
  <w:style w:type="character" w:styleId="Hyperlink">
    <w:name w:val="Hyperlink"/>
    <w:basedOn w:val="Absatz-Standardschriftart"/>
    <w:uiPriority w:val="99"/>
    <w:unhideWhenUsed/>
    <w:rsid w:val="00A23809"/>
    <w:rPr>
      <w:color w:val="0000FF"/>
      <w:u w:val="single"/>
    </w:rPr>
  </w:style>
  <w:style w:type="character" w:styleId="NichtaufgelsteErwhnung">
    <w:name w:val="Unresolved Mention"/>
    <w:basedOn w:val="Absatz-Standardschriftart"/>
    <w:uiPriority w:val="99"/>
    <w:semiHidden/>
    <w:unhideWhenUsed/>
    <w:rsid w:val="00126432"/>
    <w:rPr>
      <w:color w:val="605E5C"/>
      <w:shd w:val="clear" w:color="auto" w:fill="E1DFDD"/>
    </w:rPr>
  </w:style>
  <w:style w:type="paragraph" w:customStyle="1" w:styleId="whitespace-normal">
    <w:name w:val="whitespace-normal"/>
    <w:basedOn w:val="Standard"/>
    <w:rsid w:val="007B5936"/>
    <w:pPr>
      <w:spacing w:before="100" w:beforeAutospacing="1" w:after="100" w:afterAutospacing="1"/>
    </w:pPr>
    <w:rPr>
      <w:rFonts w:ascii="Times New Roman" w:eastAsia="Times New Roman" w:hAnsi="Times New Roman" w:cs="Times New Roman"/>
      <w:color w:val="auto"/>
      <w:sz w:val="24"/>
      <w:szCs w:val="24"/>
      <w:lang w:eastAsia="de-DE"/>
    </w:rPr>
  </w:style>
  <w:style w:type="character" w:styleId="Hervorhebung">
    <w:name w:val="Emphasis"/>
    <w:basedOn w:val="Absatz-Standardschriftart"/>
    <w:uiPriority w:val="20"/>
    <w:qFormat/>
    <w:rsid w:val="007B5936"/>
    <w:rPr>
      <w:i/>
      <w:iCs/>
    </w:rPr>
  </w:style>
  <w:style w:type="paragraph" w:customStyle="1" w:styleId="font-claude-response-body">
    <w:name w:val="font-claude-response-body"/>
    <w:basedOn w:val="Standard"/>
    <w:rsid w:val="006A0FC6"/>
    <w:pPr>
      <w:spacing w:before="100" w:beforeAutospacing="1" w:after="100" w:afterAutospacing="1"/>
    </w:pPr>
    <w:rPr>
      <w:rFonts w:ascii="Times New Roman" w:eastAsia="Times New Roman" w:hAnsi="Times New Roman" w:cs="Times New Roman"/>
      <w:color w:val="auto"/>
      <w:sz w:val="24"/>
      <w:szCs w:val="24"/>
      <w:lang w:eastAsia="de-DE"/>
    </w:rPr>
  </w:style>
  <w:style w:type="paragraph" w:styleId="Kopfzeile">
    <w:name w:val="header"/>
    <w:basedOn w:val="Standard"/>
    <w:link w:val="KopfzeileZchn"/>
    <w:uiPriority w:val="99"/>
    <w:unhideWhenUsed/>
    <w:rsid w:val="00836898"/>
    <w:pPr>
      <w:tabs>
        <w:tab w:val="center" w:pos="4536"/>
        <w:tab w:val="right" w:pos="9072"/>
      </w:tabs>
    </w:pPr>
  </w:style>
  <w:style w:type="character" w:customStyle="1" w:styleId="KopfzeileZchn">
    <w:name w:val="Kopfzeile Zchn"/>
    <w:basedOn w:val="Absatz-Standardschriftart"/>
    <w:link w:val="Kopfzeile"/>
    <w:uiPriority w:val="99"/>
    <w:rsid w:val="00836898"/>
  </w:style>
  <w:style w:type="paragraph" w:styleId="Fuzeile">
    <w:name w:val="footer"/>
    <w:basedOn w:val="Standard"/>
    <w:link w:val="FuzeileZchn"/>
    <w:uiPriority w:val="99"/>
    <w:unhideWhenUsed/>
    <w:rsid w:val="00836898"/>
    <w:pPr>
      <w:tabs>
        <w:tab w:val="center" w:pos="4536"/>
        <w:tab w:val="right" w:pos="9072"/>
      </w:tabs>
    </w:pPr>
  </w:style>
  <w:style w:type="character" w:customStyle="1" w:styleId="FuzeileZchn">
    <w:name w:val="Fußzeile Zchn"/>
    <w:basedOn w:val="Absatz-Standardschriftart"/>
    <w:link w:val="Fuzeile"/>
    <w:uiPriority w:val="99"/>
    <w:rsid w:val="008368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ilmmaster.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ioforma.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damhall.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learred.com/" TargetMode="External"/><Relationship Id="rId5" Type="http://schemas.openxmlformats.org/officeDocument/2006/relationships/styles" Target="styles.xml"/><Relationship Id="rId15" Type="http://schemas.openxmlformats.org/officeDocument/2006/relationships/hyperlink" Target="http://www.adamhall.com/" TargetMode="External"/><Relationship Id="rId10" Type="http://schemas.openxmlformats.org/officeDocument/2006/relationships/hyperlink" Target="https://youtu.be/bW8sYwE1jL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cameolight.com/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7FDEEE3-7DDB-4F4A-ADC8-CE8B235E4C32}">
  <ds:schemaRefs>
    <ds:schemaRef ds:uri="http://schemas.microsoft.com/sharepoint/v3/contenttype/forms"/>
  </ds:schemaRefs>
</ds:datastoreItem>
</file>

<file path=customXml/itemProps2.xml><?xml version="1.0" encoding="utf-8"?>
<ds:datastoreItem xmlns:ds="http://schemas.openxmlformats.org/officeDocument/2006/customXml" ds:itemID="{86B9BBAE-F520-4560-9DD7-E313894E3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7A43C0-60C9-45D4-BCCF-A59BE7C1CCEB}">
  <ds:schemaRefs>
    <ds:schemaRef ds:uri="http://schemas.microsoft.com/office/2006/metadata/properties"/>
    <ds:schemaRef ds:uri="http://schemas.microsoft.com/office/infopath/2007/PartnerControls"/>
    <ds:schemaRef ds:uri="e57e95d1-1dc8-4c86-b5cf-5a9c577286f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1198</Words>
  <Characters>7551</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Event Edit</Company>
  <LinksUpToDate>false</LinksUpToDate>
  <CharactersWithSpaces>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Cevolani</dc:creator>
  <cp:keywords/>
  <dc:description/>
  <cp:lastModifiedBy>Elisa Posteraro</cp:lastModifiedBy>
  <cp:revision>5</cp:revision>
  <dcterms:created xsi:type="dcterms:W3CDTF">2026-04-07T14:11:00Z</dcterms:created>
  <dcterms:modified xsi:type="dcterms:W3CDTF">2026-04-28T08:47:00Z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